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4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" w:eastAsia="zh-CN"/>
        </w:rPr>
        <w:t>浙江省“三农”领域软科学课题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" w:eastAsia="zh-CN"/>
        </w:rPr>
        <w:t>研究目录</w:t>
      </w:r>
    </w:p>
    <w:bookmarkEnd w:id="0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rPr>
          <w:rFonts w:hint="eastAsia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" w:eastAsia="zh-CN"/>
        </w:rPr>
        <w:t>一、浙江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省委农办</w:t>
      </w:r>
      <w:r>
        <w:rPr>
          <w:rFonts w:hint="eastAsia" w:ascii="黑体" w:hAnsi="黑体" w:eastAsia="黑体" w:cs="黑体"/>
          <w:color w:val="000000"/>
          <w:sz w:val="32"/>
          <w:szCs w:val="32"/>
          <w:lang w:val="en" w:eastAsia="zh-CN"/>
        </w:rPr>
        <w:t>“三农”战略性课题（开放命题）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1.贯彻习近平总书记关于“三农”工作的重要论述 擦亮浙江“三农”工作金名片研究。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深入分析习近平总书记关于“三农”工作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重要论述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蕴含的理论特质、精神要义和现实意义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，结合浙江实际，研究提出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将理论成果转化为持续擦亮我省“三农”工作金名片的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对策措施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2.中国式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村现代化浙江先行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重点问题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研究中国式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村现代化的内涵要求和主要特征，分析我省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村现代化先行的优势和短板，借鉴国内外发展经验，提出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浙江乡村现代化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的实现路径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和基本具备现代生活条件的指标体系和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政策建议。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3.大食物观视域下夯实我省粮食安全根基对策研究。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结合国内外形势变化，立足大食物观，分析浙江粮食安全形势，围绕粮食增产和减损、种粮收益保障、粮食物资储备和应急保供等方面，研究提出全方位夯实我省粮食安全根基的对策建议。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4.我省统筹城乡发展、推进城乡一体化的实践、启示与展望。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梳理20年来我省统筹城乡发展、推进城乡一体化的实践经验，分析规律性和启示性的理论特征，在推进中国式农业农村现代化和农民农村共同富裕大背景下，立足我省城乡发展现状，研究提出今后一段时间我省城乡统筹发展、推进城乡一体化的基本思路、目标任务与对策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5.推进强村富民乡村集成改革促进农民农村共同富裕对策研究。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分析浙江农民农村共同富裕面临的形势任务，研究强村富民乡村集成改革的内涵和意义，总结强村富民乡村集成改革典型模式，剖析强村富民乡村集成改革实施过程中的突出问题和机制障碍，提出下一步对策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" w:eastAsia="zh-CN"/>
        </w:rPr>
        <w:t>二、浙江省农村发展研究中心软科学课题（开放命题）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1.浙江省农业农村现代化评价体系构建研究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浙江省农业农村领域营商环境优化提升研究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做好“土特产”文章促进乡村产业发展路径研究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加快培育乡村地瓜经济发展路径研究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浙江省渔业高质量发展思路与对策研究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浙江省乡村基层负担现状、问题和对策研究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浙江省乡村组织振兴内涵与对策研究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浙江省村“一肩挑”干部管理和监督优化对策研究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640" w:firstLineChars="200"/>
        <w:textAlignment w:val="baseline"/>
        <w:rPr>
          <w:rFonts w:hint="eastAsia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浙江省农村工作指导员制度创新研究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浙江省发展新型农村集体经济对策研究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11.浙江省强村公司规范发展对策研究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640" w:firstLineChars="200"/>
        <w:textAlignment w:val="baseline"/>
        <w:rPr>
          <w:rFonts w:hint="eastAsia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12.浙江省农村产权交易体系建设研究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二轮土地承包期限与土地经营权流转衔接机制研究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640" w:firstLineChars="200"/>
        <w:rPr>
          <w:rFonts w:hint="eastAsia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农村“一老一小一残”群体公共服务供给优化研究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" w:eastAsia="zh-CN"/>
        </w:rPr>
        <w:t>三、浙江省乡村振兴咨询委员会软科学课题（规定命题）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（一）重大课题。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1.农业碳汇发展前景研究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2.新型城镇化和“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千万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工程”协同推进对策研究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3.共同富裕背景下浙江推进村庄经营的实践模式研究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（二）重点课题。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4.浙江2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年高效生态农业建设的经验启示与建议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5.浙江省农业绿色发展的政策支持体系研究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6.共同富裕背景下弘扬传承优秀农耕文化的问题与对策研究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推进山区海岛（26+4）县农民农村共同富裕对策研究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8.农业全产业链发展现状及对策分析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9.农业科技体制机制创新研究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10.渔船安全生产社会化管理服务路径研究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（三）青年课题。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农业转移人口市民化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和常住地享受公共服务的障碍及对策分析（重大）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12.农业农村领域数字经济发展对策研究（重点）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13.“空心村”综合开发利用思路与建议（重点）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体育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艺术文化赋能乡村振兴模式与路径研究（重点）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15.农村居民收入影响因素分析与研究（重点）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16.人才入乡主要障碍及对策研究（重点）</w:t>
      </w: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C14740-C549-42D0-ADB0-E7AA27B241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6F2E98F-FA01-4A5C-86AB-36A467A9347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FD39C12-A1A7-4734-A173-D25A8D0F329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FC310614-677C-4AFA-A1DF-5E63C812D910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17C85798-9EF8-48D8-9583-1B5741F3223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M2FiYjgxZDRmMmNhYmVmYzQ0OGVmNjEyOTI0NGEifQ=="/>
  </w:docVars>
  <w:rsids>
    <w:rsidRoot w:val="0349718E"/>
    <w:rsid w:val="0349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"/>
    <w:basedOn w:val="1"/>
    <w:qFormat/>
    <w:uiPriority w:val="0"/>
    <w:pPr>
      <w:spacing w:after="120"/>
      <w:textAlignment w:val="baseline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2023-05-24T08:45:00Z</dcterms:created>
  <dc:creator>我想静静</dc:creator>
  <cp:lastModifiedBy>我想静静</cp:lastModifiedBy>
  <dcterms:modified xsi:type="dcterms:W3CDTF">2023-05-24T08:46:23Z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06BF61CFD27B4513A7F695C80571FC5E_11</vt:lpwstr>
  </property>
</Properties>
</file>